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18" w:rsidRPr="00822E18" w:rsidRDefault="00822E18" w:rsidP="00822E18">
      <w:pPr>
        <w:jc w:val="center"/>
        <w:rPr>
          <w:b/>
          <w:sz w:val="32"/>
          <w:szCs w:val="32"/>
          <w:u w:val="single"/>
        </w:rPr>
      </w:pPr>
      <w:r w:rsidRPr="00822E18">
        <w:rPr>
          <w:b/>
          <w:sz w:val="32"/>
          <w:szCs w:val="32"/>
          <w:u w:val="single"/>
        </w:rPr>
        <w:t>Demographic transition Graphs for Switzerland &amp; Angola</w:t>
      </w:r>
    </w:p>
    <w:p w:rsidR="00822E18" w:rsidRDefault="00822E18" w:rsidP="00822E18">
      <w:pPr>
        <w:jc w:val="center"/>
      </w:pPr>
      <w:r w:rsidRPr="00822E18">
        <w:rPr>
          <w:noProof/>
          <w:lang w:eastAsia="en-GB"/>
        </w:rPr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B5055" w:rsidRDefault="00CB5055" w:rsidP="00CB5055">
      <w:pPr>
        <w:jc w:val="center"/>
      </w:pPr>
      <w:r>
        <w:t>Angola’s population data would locate it in the ______ stage of the DTM.  The reasons for this are....</w:t>
      </w:r>
    </w:p>
    <w:p w:rsidR="00822E18" w:rsidRDefault="00822E18" w:rsidP="00822E18">
      <w:pPr>
        <w:jc w:val="center"/>
      </w:pPr>
      <w:r w:rsidRPr="00822E18">
        <w:rPr>
          <w:noProof/>
          <w:lang w:eastAsia="en-GB"/>
        </w:rPr>
        <w:drawing>
          <wp:inline distT="0" distB="0" distL="0" distR="0">
            <wp:extent cx="4572000" cy="274320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B5055" w:rsidRDefault="00CB5055" w:rsidP="00CB5055">
      <w:r>
        <w:t>Switzerland’s population data would locate it in the ______ stage of the DTM.  The reasons for this are....</w:t>
      </w:r>
    </w:p>
    <w:p w:rsidR="00462758" w:rsidRDefault="00CB5055"/>
    <w:p w:rsidR="00822E18" w:rsidRDefault="00822E18"/>
    <w:p w:rsidR="00822E18" w:rsidRDefault="00822E18"/>
    <w:p w:rsidR="00822E18" w:rsidRDefault="00822E18"/>
    <w:sectPr w:rsidR="00822E18" w:rsidSect="00482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E18"/>
    <w:rsid w:val="004829BB"/>
    <w:rsid w:val="0075184C"/>
    <w:rsid w:val="00822E18"/>
    <w:rsid w:val="00AC146D"/>
    <w:rsid w:val="00B7276F"/>
    <w:rsid w:val="00C27F14"/>
    <w:rsid w:val="00CB5055"/>
    <w:rsid w:val="00F8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te\Documents\i-study\IB%20Geography\Population%20resources\Switzerland_&amp;_Angol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te\Documents\i-study\IB%20Geography\Population%20resources\Switzerland_&amp;_Angol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tx>
        <c:rich>
          <a:bodyPr/>
          <a:lstStyle/>
          <a:p>
            <a:pPr>
              <a:defRPr/>
            </a:pPr>
            <a:r>
              <a:rPr lang="en-GB"/>
              <a:t>Angolas</a:t>
            </a:r>
            <a:r>
              <a:rPr lang="en-GB" baseline="0"/>
              <a:t> Population Change</a:t>
            </a:r>
            <a:endParaRPr lang="en-GB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Sheet2!$A$2</c:f>
              <c:strCache>
                <c:ptCount val="1"/>
                <c:pt idx="0">
                  <c:v>CDR</c:v>
                </c:pt>
              </c:strCache>
            </c:strRef>
          </c:tx>
          <c:marker>
            <c:symbol val="none"/>
          </c:marker>
          <c:cat>
            <c:strRef>
              <c:f>Sheet2!$B$1:$U$1</c:f>
              <c:strCache>
                <c:ptCount val="20"/>
                <c:pt idx="0">
                  <c:v>1950-1955</c:v>
                </c:pt>
                <c:pt idx="1">
                  <c:v>1955-1960</c:v>
                </c:pt>
                <c:pt idx="2">
                  <c:v>1960-1965</c:v>
                </c:pt>
                <c:pt idx="3">
                  <c:v>1965-1970</c:v>
                </c:pt>
                <c:pt idx="4">
                  <c:v>1970-1975</c:v>
                </c:pt>
                <c:pt idx="5">
                  <c:v>1975-1980</c:v>
                </c:pt>
                <c:pt idx="6">
                  <c:v>1980-1985</c:v>
                </c:pt>
                <c:pt idx="7">
                  <c:v>1985-1990</c:v>
                </c:pt>
                <c:pt idx="8">
                  <c:v>1990-1995</c:v>
                </c:pt>
                <c:pt idx="9">
                  <c:v>1995-2000</c:v>
                </c:pt>
                <c:pt idx="10">
                  <c:v>2000-2005</c:v>
                </c:pt>
                <c:pt idx="11">
                  <c:v>2005-2010</c:v>
                </c:pt>
                <c:pt idx="12">
                  <c:v>2010-2015</c:v>
                </c:pt>
                <c:pt idx="13">
                  <c:v>2015-2020</c:v>
                </c:pt>
                <c:pt idx="14">
                  <c:v>2020-2025</c:v>
                </c:pt>
                <c:pt idx="15">
                  <c:v>2025-2030</c:v>
                </c:pt>
                <c:pt idx="16">
                  <c:v>2030-2035</c:v>
                </c:pt>
                <c:pt idx="17">
                  <c:v>2035-2040</c:v>
                </c:pt>
                <c:pt idx="18">
                  <c:v>2040-2045</c:v>
                </c:pt>
                <c:pt idx="19">
                  <c:v>2045-2050</c:v>
                </c:pt>
              </c:strCache>
            </c:strRef>
          </c:cat>
          <c:val>
            <c:numRef>
              <c:f>Sheet2!$B$2:$U$2</c:f>
              <c:numCache>
                <c:formatCode>General</c:formatCode>
                <c:ptCount val="20"/>
                <c:pt idx="0">
                  <c:v>35.9</c:v>
                </c:pt>
                <c:pt idx="1">
                  <c:v>33.5</c:v>
                </c:pt>
                <c:pt idx="2">
                  <c:v>31.1</c:v>
                </c:pt>
                <c:pt idx="3">
                  <c:v>28.7</c:v>
                </c:pt>
                <c:pt idx="4">
                  <c:v>26.4</c:v>
                </c:pt>
                <c:pt idx="5">
                  <c:v>25</c:v>
                </c:pt>
                <c:pt idx="6">
                  <c:v>24.7</c:v>
                </c:pt>
                <c:pt idx="7">
                  <c:v>24.7</c:v>
                </c:pt>
                <c:pt idx="8">
                  <c:v>24.3</c:v>
                </c:pt>
                <c:pt idx="9">
                  <c:v>23.1</c:v>
                </c:pt>
                <c:pt idx="10">
                  <c:v>22.3</c:v>
                </c:pt>
                <c:pt idx="11">
                  <c:v>21.1</c:v>
                </c:pt>
                <c:pt idx="12">
                  <c:v>19.5</c:v>
                </c:pt>
                <c:pt idx="13">
                  <c:v>17.7</c:v>
                </c:pt>
                <c:pt idx="14">
                  <c:v>16.100000000000001</c:v>
                </c:pt>
                <c:pt idx="15">
                  <c:v>14.6</c:v>
                </c:pt>
                <c:pt idx="16">
                  <c:v>13.3</c:v>
                </c:pt>
                <c:pt idx="17">
                  <c:v>12.2</c:v>
                </c:pt>
                <c:pt idx="18">
                  <c:v>11.3</c:v>
                </c:pt>
                <c:pt idx="19">
                  <c:v>10.5</c:v>
                </c:pt>
              </c:numCache>
            </c:numRef>
          </c:val>
        </c:ser>
        <c:ser>
          <c:idx val="1"/>
          <c:order val="1"/>
          <c:tx>
            <c:strRef>
              <c:f>Sheet2!$A$3</c:f>
              <c:strCache>
                <c:ptCount val="1"/>
                <c:pt idx="0">
                  <c:v>CBR</c:v>
                </c:pt>
              </c:strCache>
            </c:strRef>
          </c:tx>
          <c:marker>
            <c:symbol val="none"/>
          </c:marker>
          <c:cat>
            <c:strRef>
              <c:f>Sheet2!$B$1:$U$1</c:f>
              <c:strCache>
                <c:ptCount val="20"/>
                <c:pt idx="0">
                  <c:v>1950-1955</c:v>
                </c:pt>
                <c:pt idx="1">
                  <c:v>1955-1960</c:v>
                </c:pt>
                <c:pt idx="2">
                  <c:v>1960-1965</c:v>
                </c:pt>
                <c:pt idx="3">
                  <c:v>1965-1970</c:v>
                </c:pt>
                <c:pt idx="4">
                  <c:v>1970-1975</c:v>
                </c:pt>
                <c:pt idx="5">
                  <c:v>1975-1980</c:v>
                </c:pt>
                <c:pt idx="6">
                  <c:v>1980-1985</c:v>
                </c:pt>
                <c:pt idx="7">
                  <c:v>1985-1990</c:v>
                </c:pt>
                <c:pt idx="8">
                  <c:v>1990-1995</c:v>
                </c:pt>
                <c:pt idx="9">
                  <c:v>1995-2000</c:v>
                </c:pt>
                <c:pt idx="10">
                  <c:v>2000-2005</c:v>
                </c:pt>
                <c:pt idx="11">
                  <c:v>2005-2010</c:v>
                </c:pt>
                <c:pt idx="12">
                  <c:v>2010-2015</c:v>
                </c:pt>
                <c:pt idx="13">
                  <c:v>2015-2020</c:v>
                </c:pt>
                <c:pt idx="14">
                  <c:v>2020-2025</c:v>
                </c:pt>
                <c:pt idx="15">
                  <c:v>2025-2030</c:v>
                </c:pt>
                <c:pt idx="16">
                  <c:v>2030-2035</c:v>
                </c:pt>
                <c:pt idx="17">
                  <c:v>2035-2040</c:v>
                </c:pt>
                <c:pt idx="18">
                  <c:v>2040-2045</c:v>
                </c:pt>
                <c:pt idx="19">
                  <c:v>2045-2050</c:v>
                </c:pt>
              </c:strCache>
            </c:strRef>
          </c:cat>
          <c:val>
            <c:numRef>
              <c:f>Sheet2!$B$3:$U$3</c:f>
              <c:numCache>
                <c:formatCode>General</c:formatCode>
                <c:ptCount val="20"/>
                <c:pt idx="0">
                  <c:v>54</c:v>
                </c:pt>
                <c:pt idx="1">
                  <c:v>54.4</c:v>
                </c:pt>
                <c:pt idx="2">
                  <c:v>54.3</c:v>
                </c:pt>
                <c:pt idx="3">
                  <c:v>53.2</c:v>
                </c:pt>
                <c:pt idx="4">
                  <c:v>51.8</c:v>
                </c:pt>
                <c:pt idx="5">
                  <c:v>52.4</c:v>
                </c:pt>
                <c:pt idx="6">
                  <c:v>52.9</c:v>
                </c:pt>
                <c:pt idx="7">
                  <c:v>53.1</c:v>
                </c:pt>
                <c:pt idx="8">
                  <c:v>52.4</c:v>
                </c:pt>
                <c:pt idx="9">
                  <c:v>48.9</c:v>
                </c:pt>
                <c:pt idx="10">
                  <c:v>48.5</c:v>
                </c:pt>
                <c:pt idx="11">
                  <c:v>47.3</c:v>
                </c:pt>
                <c:pt idx="12">
                  <c:v>45.5</c:v>
                </c:pt>
                <c:pt idx="13">
                  <c:v>43.1</c:v>
                </c:pt>
                <c:pt idx="14">
                  <c:v>40.300000000000004</c:v>
                </c:pt>
                <c:pt idx="15">
                  <c:v>37.300000000000004</c:v>
                </c:pt>
                <c:pt idx="16">
                  <c:v>34.4</c:v>
                </c:pt>
                <c:pt idx="17">
                  <c:v>31.5</c:v>
                </c:pt>
                <c:pt idx="18">
                  <c:v>28.9</c:v>
                </c:pt>
                <c:pt idx="19">
                  <c:v>26.6</c:v>
                </c:pt>
              </c:numCache>
            </c:numRef>
          </c:val>
        </c:ser>
        <c:ser>
          <c:idx val="2"/>
          <c:order val="2"/>
          <c:tx>
            <c:strRef>
              <c:f>Sheet2!$A$4</c:f>
              <c:strCache>
                <c:ptCount val="1"/>
              </c:strCache>
            </c:strRef>
          </c:tx>
          <c:marker>
            <c:symbol val="none"/>
          </c:marker>
          <c:cat>
            <c:strRef>
              <c:f>Sheet2!$B$1:$U$1</c:f>
              <c:strCache>
                <c:ptCount val="20"/>
                <c:pt idx="0">
                  <c:v>1950-1955</c:v>
                </c:pt>
                <c:pt idx="1">
                  <c:v>1955-1960</c:v>
                </c:pt>
                <c:pt idx="2">
                  <c:v>1960-1965</c:v>
                </c:pt>
                <c:pt idx="3">
                  <c:v>1965-1970</c:v>
                </c:pt>
                <c:pt idx="4">
                  <c:v>1970-1975</c:v>
                </c:pt>
                <c:pt idx="5">
                  <c:v>1975-1980</c:v>
                </c:pt>
                <c:pt idx="6">
                  <c:v>1980-1985</c:v>
                </c:pt>
                <c:pt idx="7">
                  <c:v>1985-1990</c:v>
                </c:pt>
                <c:pt idx="8">
                  <c:v>1990-1995</c:v>
                </c:pt>
                <c:pt idx="9">
                  <c:v>1995-2000</c:v>
                </c:pt>
                <c:pt idx="10">
                  <c:v>2000-2005</c:v>
                </c:pt>
                <c:pt idx="11">
                  <c:v>2005-2010</c:v>
                </c:pt>
                <c:pt idx="12">
                  <c:v>2010-2015</c:v>
                </c:pt>
                <c:pt idx="13">
                  <c:v>2015-2020</c:v>
                </c:pt>
                <c:pt idx="14">
                  <c:v>2020-2025</c:v>
                </c:pt>
                <c:pt idx="15">
                  <c:v>2025-2030</c:v>
                </c:pt>
                <c:pt idx="16">
                  <c:v>2030-2035</c:v>
                </c:pt>
                <c:pt idx="17">
                  <c:v>2035-2040</c:v>
                </c:pt>
                <c:pt idx="18">
                  <c:v>2040-2045</c:v>
                </c:pt>
                <c:pt idx="19">
                  <c:v>2045-2050</c:v>
                </c:pt>
              </c:strCache>
            </c:strRef>
          </c:cat>
          <c:val>
            <c:numRef>
              <c:f>Sheet2!$B$4:$U$4</c:f>
              <c:numCache>
                <c:formatCode>General</c:formatCode>
                <c:ptCount val="20"/>
              </c:numCache>
            </c:numRef>
          </c:val>
        </c:ser>
        <c:marker val="1"/>
        <c:axId val="91732224"/>
        <c:axId val="92274688"/>
      </c:lineChart>
      <c:catAx>
        <c:axId val="91732224"/>
        <c:scaling>
          <c:orientation val="minMax"/>
        </c:scaling>
        <c:axPos val="b"/>
        <c:majorTickMark val="none"/>
        <c:tickLblPos val="nextTo"/>
        <c:crossAx val="92274688"/>
        <c:crosses val="autoZero"/>
        <c:auto val="1"/>
        <c:lblAlgn val="ctr"/>
        <c:lblOffset val="100"/>
      </c:catAx>
      <c:valAx>
        <c:axId val="9227468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Births &amp; Deaths/1000</a:t>
                </a:r>
              </a:p>
            </c:rich>
          </c:tx>
        </c:title>
        <c:numFmt formatCode="General" sourceLinked="1"/>
        <c:majorTickMark val="none"/>
        <c:tickLblPos val="nextTo"/>
        <c:crossAx val="91732224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GB"/>
  <c:chart>
    <c:title>
      <c:tx>
        <c:rich>
          <a:bodyPr/>
          <a:lstStyle/>
          <a:p>
            <a:pPr>
              <a:defRPr/>
            </a:pPr>
            <a:r>
              <a:rPr lang="en-GB"/>
              <a:t>Switzerlands Population</a:t>
            </a:r>
            <a:r>
              <a:rPr lang="en-GB" baseline="0"/>
              <a:t> Change</a:t>
            </a:r>
            <a:endParaRPr lang="en-GB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Sheet2!$A$7</c:f>
              <c:strCache>
                <c:ptCount val="1"/>
                <c:pt idx="0">
                  <c:v>CDR</c:v>
                </c:pt>
              </c:strCache>
            </c:strRef>
          </c:tx>
          <c:marker>
            <c:symbol val="none"/>
          </c:marker>
          <c:cat>
            <c:strRef>
              <c:f>Sheet2!$B$6:$U$6</c:f>
              <c:strCache>
                <c:ptCount val="20"/>
                <c:pt idx="0">
                  <c:v>1950-1955</c:v>
                </c:pt>
                <c:pt idx="1">
                  <c:v>1955-1960</c:v>
                </c:pt>
                <c:pt idx="2">
                  <c:v>1960-1965</c:v>
                </c:pt>
                <c:pt idx="3">
                  <c:v>1965-1970</c:v>
                </c:pt>
                <c:pt idx="4">
                  <c:v>1970-1975</c:v>
                </c:pt>
                <c:pt idx="5">
                  <c:v>1975-1980</c:v>
                </c:pt>
                <c:pt idx="6">
                  <c:v>1980-1985</c:v>
                </c:pt>
                <c:pt idx="7">
                  <c:v>1985-1990</c:v>
                </c:pt>
                <c:pt idx="8">
                  <c:v>1990-1995</c:v>
                </c:pt>
                <c:pt idx="9">
                  <c:v>1995-2000</c:v>
                </c:pt>
                <c:pt idx="10">
                  <c:v>2000-2005</c:v>
                </c:pt>
                <c:pt idx="11">
                  <c:v>2005-2010</c:v>
                </c:pt>
                <c:pt idx="12">
                  <c:v>2010-2015</c:v>
                </c:pt>
                <c:pt idx="13">
                  <c:v>2015-2020</c:v>
                </c:pt>
                <c:pt idx="14">
                  <c:v>2020-2025</c:v>
                </c:pt>
                <c:pt idx="15">
                  <c:v>2025-2030</c:v>
                </c:pt>
                <c:pt idx="16">
                  <c:v>2030-2035</c:v>
                </c:pt>
                <c:pt idx="17">
                  <c:v>2035-2040</c:v>
                </c:pt>
                <c:pt idx="18">
                  <c:v>2040-2045</c:v>
                </c:pt>
                <c:pt idx="19">
                  <c:v>2045-2050</c:v>
                </c:pt>
              </c:strCache>
            </c:strRef>
          </c:cat>
          <c:val>
            <c:numRef>
              <c:f>Sheet2!$B$7:$U$7</c:f>
              <c:numCache>
                <c:formatCode>General</c:formatCode>
                <c:ptCount val="20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10</c:v>
                </c:pt>
                <c:pt idx="9">
                  <c:v>9</c:v>
                </c:pt>
                <c:pt idx="10">
                  <c:v>8</c:v>
                </c:pt>
                <c:pt idx="11">
                  <c:v>9</c:v>
                </c:pt>
                <c:pt idx="12">
                  <c:v>9</c:v>
                </c:pt>
                <c:pt idx="13">
                  <c:v>10</c:v>
                </c:pt>
                <c:pt idx="14">
                  <c:v>10</c:v>
                </c:pt>
                <c:pt idx="15">
                  <c:v>11</c:v>
                </c:pt>
                <c:pt idx="16">
                  <c:v>11</c:v>
                </c:pt>
                <c:pt idx="17">
                  <c:v>12</c:v>
                </c:pt>
                <c:pt idx="18">
                  <c:v>12</c:v>
                </c:pt>
                <c:pt idx="19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Sheet2!$A$8</c:f>
              <c:strCache>
                <c:ptCount val="1"/>
                <c:pt idx="0">
                  <c:v>CBR</c:v>
                </c:pt>
              </c:strCache>
            </c:strRef>
          </c:tx>
          <c:marker>
            <c:symbol val="none"/>
          </c:marker>
          <c:cat>
            <c:strRef>
              <c:f>Sheet2!$B$6:$U$6</c:f>
              <c:strCache>
                <c:ptCount val="20"/>
                <c:pt idx="0">
                  <c:v>1950-1955</c:v>
                </c:pt>
                <c:pt idx="1">
                  <c:v>1955-1960</c:v>
                </c:pt>
                <c:pt idx="2">
                  <c:v>1960-1965</c:v>
                </c:pt>
                <c:pt idx="3">
                  <c:v>1965-1970</c:v>
                </c:pt>
                <c:pt idx="4">
                  <c:v>1970-1975</c:v>
                </c:pt>
                <c:pt idx="5">
                  <c:v>1975-1980</c:v>
                </c:pt>
                <c:pt idx="6">
                  <c:v>1980-1985</c:v>
                </c:pt>
                <c:pt idx="7">
                  <c:v>1985-1990</c:v>
                </c:pt>
                <c:pt idx="8">
                  <c:v>1990-1995</c:v>
                </c:pt>
                <c:pt idx="9">
                  <c:v>1995-2000</c:v>
                </c:pt>
                <c:pt idx="10">
                  <c:v>2000-2005</c:v>
                </c:pt>
                <c:pt idx="11">
                  <c:v>2005-2010</c:v>
                </c:pt>
                <c:pt idx="12">
                  <c:v>2010-2015</c:v>
                </c:pt>
                <c:pt idx="13">
                  <c:v>2015-2020</c:v>
                </c:pt>
                <c:pt idx="14">
                  <c:v>2020-2025</c:v>
                </c:pt>
                <c:pt idx="15">
                  <c:v>2025-2030</c:v>
                </c:pt>
                <c:pt idx="16">
                  <c:v>2030-2035</c:v>
                </c:pt>
                <c:pt idx="17">
                  <c:v>2035-2040</c:v>
                </c:pt>
                <c:pt idx="18">
                  <c:v>2040-2045</c:v>
                </c:pt>
                <c:pt idx="19">
                  <c:v>2045-2050</c:v>
                </c:pt>
              </c:strCache>
            </c:strRef>
          </c:cat>
          <c:val>
            <c:numRef>
              <c:f>Sheet2!$B$8:$U$8</c:f>
              <c:numCache>
                <c:formatCode>General</c:formatCode>
                <c:ptCount val="20"/>
                <c:pt idx="0">
                  <c:v>17</c:v>
                </c:pt>
                <c:pt idx="1">
                  <c:v>18</c:v>
                </c:pt>
                <c:pt idx="2">
                  <c:v>19</c:v>
                </c:pt>
                <c:pt idx="3">
                  <c:v>18</c:v>
                </c:pt>
                <c:pt idx="4">
                  <c:v>14</c:v>
                </c:pt>
                <c:pt idx="5">
                  <c:v>12</c:v>
                </c:pt>
                <c:pt idx="6">
                  <c:v>12</c:v>
                </c:pt>
                <c:pt idx="7">
                  <c:v>12</c:v>
                </c:pt>
                <c:pt idx="8">
                  <c:v>12</c:v>
                </c:pt>
                <c:pt idx="9">
                  <c:v>11</c:v>
                </c:pt>
                <c:pt idx="10">
                  <c:v>10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</c:numCache>
            </c:numRef>
          </c:val>
        </c:ser>
        <c:marker val="1"/>
        <c:axId val="92288128"/>
        <c:axId val="92289664"/>
      </c:lineChart>
      <c:catAx>
        <c:axId val="92288128"/>
        <c:scaling>
          <c:orientation val="minMax"/>
        </c:scaling>
        <c:axPos val="b"/>
        <c:majorTickMark val="none"/>
        <c:tickLblPos val="nextTo"/>
        <c:crossAx val="92289664"/>
        <c:crosses val="autoZero"/>
        <c:auto val="1"/>
        <c:lblAlgn val="ctr"/>
        <c:lblOffset val="100"/>
      </c:catAx>
      <c:valAx>
        <c:axId val="922896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Births</a:t>
                </a:r>
                <a:r>
                  <a:rPr lang="en-GB" baseline="0"/>
                  <a:t> &amp; deaths/1000</a:t>
                </a:r>
                <a:endParaRPr lang="en-GB"/>
              </a:p>
            </c:rich>
          </c:tx>
        </c:title>
        <c:numFmt formatCode="General" sourceLinked="1"/>
        <c:majorTickMark val="none"/>
        <c:tickLblPos val="nextTo"/>
        <c:crossAx val="92288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2010-02-24T17:21:00Z</dcterms:created>
  <dcterms:modified xsi:type="dcterms:W3CDTF">2010-02-26T16:55:00Z</dcterms:modified>
</cp:coreProperties>
</file>